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7" w:rsidRPr="003311D7" w:rsidRDefault="003311D7" w:rsidP="00C25265">
      <w:pPr>
        <w:spacing w:after="0"/>
        <w:rPr>
          <w:rFonts w:ascii="Calibri Light" w:hAnsi="Calibri Light"/>
          <w:b/>
          <w:bCs/>
          <w:color w:val="0C2344"/>
          <w:sz w:val="36"/>
          <w:lang w:val="en-CA"/>
        </w:rPr>
      </w:pPr>
      <w:bookmarkStart w:id="0" w:name="_GoBack"/>
      <w:bookmarkEnd w:id="0"/>
      <w:r w:rsidRPr="003311D7">
        <w:rPr>
          <w:rFonts w:ascii="Calibri Light" w:hAnsi="Calibri Light"/>
          <w:b/>
          <w:bCs/>
          <w:color w:val="0C2344"/>
          <w:sz w:val="36"/>
          <w:lang w:val="en-CA"/>
        </w:rPr>
        <w:t>Risk Assessment Template</w:t>
      </w:r>
    </w:p>
    <w:p w:rsidR="00C25265" w:rsidRPr="00980357" w:rsidRDefault="00C25265" w:rsidP="00C25265">
      <w:pPr>
        <w:rPr>
          <w:rFonts w:ascii="Calibri Light" w:hAnsi="Calibri Light"/>
        </w:rPr>
      </w:pPr>
    </w:p>
    <w:tbl>
      <w:tblPr>
        <w:tblStyle w:val="TableGrid"/>
        <w:tblpPr w:leftFromText="180" w:rightFromText="180" w:vertAnchor="text" w:horzAnchor="margin" w:tblpXSpec="center" w:tblpY="-50"/>
        <w:tblOverlap w:val="never"/>
        <w:tblW w:w="150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710"/>
        <w:gridCol w:w="1350"/>
        <w:gridCol w:w="1170"/>
        <w:gridCol w:w="1898"/>
        <w:gridCol w:w="1675"/>
        <w:gridCol w:w="1323"/>
        <w:gridCol w:w="1235"/>
      </w:tblGrid>
      <w:tr w:rsidR="00F53FED" w:rsidRPr="00D4114F" w:rsidTr="00B27F2E">
        <w:trPr>
          <w:trHeight w:val="329"/>
        </w:trPr>
        <w:tc>
          <w:tcPr>
            <w:tcW w:w="2610" w:type="dxa"/>
            <w:vMerge w:val="restart"/>
            <w:shd w:val="clear" w:color="auto" w:fill="0C2344"/>
            <w:vAlign w:val="center"/>
          </w:tcPr>
          <w:p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Task</w:t>
            </w:r>
          </w:p>
          <w:p w:rsidR="00F53FED" w:rsidRPr="0017006E" w:rsidRDefault="00F53FED" w:rsidP="00D83F84">
            <w:pPr>
              <w:jc w:val="center"/>
              <w:rPr>
                <w:i/>
                <w:color w:val="97D4E9"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S</w:t>
            </w:r>
            <w:r w:rsidR="00013951">
              <w:rPr>
                <w:i/>
                <w:color w:val="97D4E9"/>
                <w:sz w:val="20"/>
                <w:szCs w:val="20"/>
              </w:rPr>
              <w:t xml:space="preserve">ee Guidance Document Appendix </w:t>
            </w:r>
            <w:r w:rsidRPr="0017006E">
              <w:rPr>
                <w:i/>
                <w:color w:val="97D4E9"/>
                <w:sz w:val="20"/>
                <w:szCs w:val="20"/>
              </w:rPr>
              <w:t>B</w:t>
            </w:r>
          </w:p>
        </w:tc>
        <w:tc>
          <w:tcPr>
            <w:tcW w:w="2070" w:type="dxa"/>
            <w:vMerge w:val="restart"/>
            <w:shd w:val="clear" w:color="auto" w:fill="0C2344"/>
            <w:vAlign w:val="center"/>
          </w:tcPr>
          <w:p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 xml:space="preserve">Hazards </w:t>
            </w:r>
            <w:r w:rsidR="00F70BD0">
              <w:rPr>
                <w:b/>
                <w:color w:val="97D4E9"/>
              </w:rPr>
              <w:t>and</w:t>
            </w:r>
            <w:r w:rsidRPr="0017006E">
              <w:rPr>
                <w:b/>
                <w:color w:val="97D4E9"/>
              </w:rPr>
              <w:t xml:space="preserve"> possible outcomes</w:t>
            </w:r>
          </w:p>
          <w:p w:rsidR="00013951" w:rsidRDefault="00F53FED" w:rsidP="00013951">
            <w:pPr>
              <w:jc w:val="center"/>
              <w:rPr>
                <w:i/>
                <w:color w:val="97D4E9"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See Guidance Document</w:t>
            </w:r>
            <w:r w:rsidR="00013951">
              <w:rPr>
                <w:i/>
                <w:color w:val="97D4E9"/>
                <w:sz w:val="20"/>
                <w:szCs w:val="20"/>
              </w:rPr>
              <w:t xml:space="preserve"> </w:t>
            </w:r>
          </w:p>
          <w:p w:rsidR="00F53FED" w:rsidRPr="0017006E" w:rsidRDefault="00013951" w:rsidP="00013951">
            <w:pPr>
              <w:jc w:val="center"/>
              <w:rPr>
                <w:i/>
                <w:color w:val="97D4E9"/>
                <w:sz w:val="20"/>
                <w:szCs w:val="20"/>
              </w:rPr>
            </w:pPr>
            <w:r>
              <w:rPr>
                <w:i/>
                <w:color w:val="97D4E9"/>
                <w:sz w:val="20"/>
                <w:szCs w:val="20"/>
              </w:rPr>
              <w:t xml:space="preserve">Appendix </w:t>
            </w:r>
            <w:r w:rsidR="00F53FED" w:rsidRPr="0017006E">
              <w:rPr>
                <w:i/>
                <w:color w:val="97D4E9"/>
                <w:sz w:val="20"/>
                <w:szCs w:val="20"/>
              </w:rPr>
              <w:t>B</w:t>
            </w:r>
            <w:r w:rsidR="00D83F84">
              <w:rPr>
                <w:i/>
                <w:color w:val="97D4E9"/>
                <w:sz w:val="20"/>
                <w:szCs w:val="20"/>
              </w:rPr>
              <w:t xml:space="preserve"> and C</w:t>
            </w:r>
          </w:p>
        </w:tc>
        <w:tc>
          <w:tcPr>
            <w:tcW w:w="4230" w:type="dxa"/>
            <w:gridSpan w:val="3"/>
            <w:shd w:val="clear" w:color="auto" w:fill="0C2344"/>
          </w:tcPr>
          <w:p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Pre-Control </w:t>
            </w:r>
            <w:r w:rsidRPr="0017006E">
              <w:rPr>
                <w:b/>
                <w:color w:val="97D4E9"/>
              </w:rPr>
              <w:t>Risk</w:t>
            </w:r>
          </w:p>
          <w:p w:rsidR="00F53FED" w:rsidRPr="0017006E" w:rsidRDefault="00F53FED" w:rsidP="00F53FED">
            <w:pPr>
              <w:jc w:val="center"/>
              <w:rPr>
                <w:i/>
                <w:color w:val="97D4E9"/>
                <w:sz w:val="20"/>
                <w:szCs w:val="20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E</w:t>
            </w:r>
          </w:p>
        </w:tc>
        <w:tc>
          <w:tcPr>
            <w:tcW w:w="1898" w:type="dxa"/>
            <w:vMerge w:val="restart"/>
            <w:shd w:val="clear" w:color="auto" w:fill="0C2344"/>
            <w:vAlign w:val="center"/>
          </w:tcPr>
          <w:p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>Controls</w:t>
            </w:r>
          </w:p>
          <w:p w:rsidR="00F53FED" w:rsidRPr="00357B78" w:rsidRDefault="00F53FED" w:rsidP="00013951">
            <w:pPr>
              <w:jc w:val="center"/>
              <w:rPr>
                <w:i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(Detail all controls that will be used to minimize the risk due to the hazard</w:t>
            </w:r>
            <w:r w:rsidR="00013951">
              <w:rPr>
                <w:i/>
                <w:color w:val="97D4E9"/>
                <w:sz w:val="20"/>
                <w:szCs w:val="20"/>
              </w:rPr>
              <w:t>)</w:t>
            </w:r>
            <w:r w:rsidRPr="0017006E">
              <w:rPr>
                <w:i/>
                <w:color w:val="97D4E9"/>
                <w:sz w:val="20"/>
                <w:szCs w:val="20"/>
              </w:rPr>
              <w:t xml:space="preserve">  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F and G</w:t>
            </w:r>
          </w:p>
        </w:tc>
        <w:tc>
          <w:tcPr>
            <w:tcW w:w="4233" w:type="dxa"/>
            <w:gridSpan w:val="3"/>
            <w:shd w:val="clear" w:color="auto" w:fill="0C2344"/>
          </w:tcPr>
          <w:p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Post-Control </w:t>
            </w:r>
            <w:r w:rsidRPr="0017006E">
              <w:rPr>
                <w:b/>
                <w:color w:val="97D4E9"/>
              </w:rPr>
              <w:t>Risk</w:t>
            </w:r>
          </w:p>
          <w:p w:rsidR="00F53FED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E</w:t>
            </w:r>
          </w:p>
        </w:tc>
      </w:tr>
      <w:tr w:rsidR="00F53FED" w:rsidRPr="00EE0FAB" w:rsidTr="00010C32">
        <w:trPr>
          <w:trHeight w:val="329"/>
        </w:trPr>
        <w:tc>
          <w:tcPr>
            <w:tcW w:w="2610" w:type="dxa"/>
            <w:vMerge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</w:p>
        </w:tc>
        <w:tc>
          <w:tcPr>
            <w:tcW w:w="2070" w:type="dxa"/>
            <w:vMerge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</w:p>
        </w:tc>
        <w:tc>
          <w:tcPr>
            <w:tcW w:w="1710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Consequence</w:t>
            </w:r>
          </w:p>
          <w:p w:rsidR="00F53FED" w:rsidRPr="0017006E" w:rsidRDefault="00013951" w:rsidP="00F53FED">
            <w:pPr>
              <w:jc w:val="center"/>
              <w:rPr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D</w:t>
            </w:r>
          </w:p>
        </w:tc>
        <w:tc>
          <w:tcPr>
            <w:tcW w:w="1350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Likelihood</w:t>
            </w:r>
          </w:p>
          <w:p w:rsidR="00F53FED" w:rsidRPr="0017006E" w:rsidRDefault="00F53FED" w:rsidP="00013951">
            <w:pPr>
              <w:jc w:val="center"/>
              <w:rPr>
                <w:b/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170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>Risk Level</w:t>
            </w:r>
          </w:p>
          <w:p w:rsidR="00F53FED" w:rsidRPr="0017006E" w:rsidRDefault="00F53FED" w:rsidP="00F53FED">
            <w:pPr>
              <w:jc w:val="center"/>
              <w:rPr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E</w:t>
            </w:r>
          </w:p>
        </w:tc>
        <w:tc>
          <w:tcPr>
            <w:tcW w:w="1898" w:type="dxa"/>
            <w:vMerge/>
          </w:tcPr>
          <w:p w:rsidR="00F53FED" w:rsidRPr="00EE0FAB" w:rsidRDefault="00F53FED" w:rsidP="00F53FE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675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Consequence</w:t>
            </w:r>
          </w:p>
          <w:p w:rsidR="00F53FED" w:rsidRPr="0017006E" w:rsidRDefault="00F53FED" w:rsidP="00013951">
            <w:pPr>
              <w:jc w:val="center"/>
              <w:rPr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323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Likelihood</w:t>
            </w:r>
          </w:p>
          <w:p w:rsidR="00F53FED" w:rsidRPr="0017006E" w:rsidRDefault="00F53FED" w:rsidP="00013951">
            <w:pPr>
              <w:jc w:val="center"/>
              <w:rPr>
                <w:b/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235" w:type="dxa"/>
            <w:shd w:val="clear" w:color="auto" w:fill="0C2344"/>
          </w:tcPr>
          <w:p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Residual </w:t>
            </w:r>
            <w:r w:rsidRPr="0017006E">
              <w:rPr>
                <w:b/>
                <w:color w:val="97D4E9"/>
              </w:rPr>
              <w:t>Risk Level</w:t>
            </w:r>
          </w:p>
          <w:p w:rsidR="00F53FED" w:rsidRPr="0017006E" w:rsidRDefault="00F53FED" w:rsidP="00F53FED">
            <w:pPr>
              <w:jc w:val="center"/>
              <w:rPr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E</w:t>
            </w:r>
          </w:p>
        </w:tc>
      </w:tr>
      <w:tr w:rsidR="00F53FED" w:rsidTr="00010C32">
        <w:trPr>
          <w:trHeight w:val="307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42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29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/>
        </w:tc>
      </w:tr>
      <w:tr w:rsidR="00F53FED" w:rsidTr="00010C32">
        <w:trPr>
          <w:trHeight w:val="310"/>
        </w:trPr>
        <w:tc>
          <w:tcPr>
            <w:tcW w:w="2610" w:type="dxa"/>
          </w:tcPr>
          <w:p w:rsidR="00F53FED" w:rsidRDefault="00F53FED" w:rsidP="00F53FED"/>
        </w:tc>
        <w:tc>
          <w:tcPr>
            <w:tcW w:w="2070" w:type="dxa"/>
            <w:vAlign w:val="center"/>
          </w:tcPr>
          <w:p w:rsidR="00F53FED" w:rsidRDefault="00F53FED" w:rsidP="00F53FED"/>
        </w:tc>
        <w:tc>
          <w:tcPr>
            <w:tcW w:w="1710" w:type="dxa"/>
            <w:vAlign w:val="center"/>
          </w:tcPr>
          <w:p w:rsidR="00F53FED" w:rsidRDefault="00F53FED" w:rsidP="00F53FED"/>
        </w:tc>
        <w:tc>
          <w:tcPr>
            <w:tcW w:w="1350" w:type="dxa"/>
            <w:vAlign w:val="center"/>
          </w:tcPr>
          <w:p w:rsidR="00F53FED" w:rsidRDefault="00F53FED" w:rsidP="00F53FED"/>
        </w:tc>
        <w:tc>
          <w:tcPr>
            <w:tcW w:w="1170" w:type="dxa"/>
            <w:vAlign w:val="center"/>
          </w:tcPr>
          <w:p w:rsidR="00F53FED" w:rsidRDefault="00F53FED" w:rsidP="00F53FED"/>
        </w:tc>
        <w:tc>
          <w:tcPr>
            <w:tcW w:w="1898" w:type="dxa"/>
            <w:vAlign w:val="center"/>
          </w:tcPr>
          <w:p w:rsidR="00F53FED" w:rsidRDefault="00F53FED" w:rsidP="00F53FED"/>
        </w:tc>
        <w:tc>
          <w:tcPr>
            <w:tcW w:w="1675" w:type="dxa"/>
          </w:tcPr>
          <w:p w:rsidR="00F53FED" w:rsidRDefault="00F53FED" w:rsidP="00F53FED"/>
        </w:tc>
        <w:tc>
          <w:tcPr>
            <w:tcW w:w="1323" w:type="dxa"/>
          </w:tcPr>
          <w:p w:rsidR="00F53FED" w:rsidRDefault="00F53FED" w:rsidP="00F53FED"/>
        </w:tc>
        <w:tc>
          <w:tcPr>
            <w:tcW w:w="1235" w:type="dxa"/>
          </w:tcPr>
          <w:p w:rsidR="00F53FED" w:rsidRDefault="00F53FED" w:rsidP="00F53FED">
            <w:pPr>
              <w:pStyle w:val="ListParagraph"/>
              <w:ind w:left="360"/>
            </w:pPr>
          </w:p>
        </w:tc>
      </w:tr>
    </w:tbl>
    <w:p w:rsidR="00F737B3" w:rsidRDefault="00F737B3" w:rsidP="005234DE">
      <w:pPr>
        <w:pStyle w:val="Heading1"/>
        <w:spacing w:before="0"/>
      </w:pPr>
    </w:p>
    <w:sectPr w:rsidR="00F737B3" w:rsidSect="005234D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7B" w:rsidRDefault="0049767B" w:rsidP="005234DE">
      <w:pPr>
        <w:spacing w:after="0" w:line="240" w:lineRule="auto"/>
      </w:pPr>
      <w:r>
        <w:separator/>
      </w:r>
    </w:p>
  </w:endnote>
  <w:endnote w:type="continuationSeparator" w:id="0">
    <w:p w:rsidR="0049767B" w:rsidRDefault="0049767B" w:rsidP="0052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35171"/>
      <w:docPartObj>
        <w:docPartGallery w:val="Page Numbers (Bottom of Page)"/>
        <w:docPartUnique/>
      </w:docPartObj>
    </w:sdtPr>
    <w:sdtEndPr/>
    <w:sdtContent>
      <w:sdt>
        <w:sdtPr>
          <w:id w:val="268353919"/>
          <w:docPartObj>
            <w:docPartGallery w:val="Page Numbers (Top of Page)"/>
            <w:docPartUnique/>
          </w:docPartObj>
        </w:sdtPr>
        <w:sdtEndPr/>
        <w:sdtContent>
          <w:p w:rsidR="00927297" w:rsidRDefault="00E524F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E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E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27297" w:rsidRPr="007436D9" w:rsidRDefault="00E524FF" w:rsidP="00E62DB7">
            <w:pPr>
              <w:spacing w:after="0"/>
              <w:rPr>
                <w:rFonts w:cs="Times New Roman"/>
                <w:sz w:val="20"/>
                <w:szCs w:val="24"/>
              </w:rPr>
            </w:pPr>
            <w:r w:rsidRPr="007436D9">
              <w:rPr>
                <w:rFonts w:cs="Times New Roman"/>
                <w:sz w:val="20"/>
                <w:szCs w:val="24"/>
              </w:rPr>
              <w:t>Template prepared by: Risk Management Services</w:t>
            </w:r>
          </w:p>
          <w:p w:rsidR="00927297" w:rsidRPr="00E62DB7" w:rsidRDefault="00E524FF" w:rsidP="002E57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Tahoma"/>
                <w:color w:val="0C2344"/>
              </w:rPr>
            </w:pPr>
            <w:r>
              <w:rPr>
                <w:sz w:val="20"/>
              </w:rPr>
              <w:t>Template</w:t>
            </w:r>
            <w:r w:rsidRPr="00756918">
              <w:rPr>
                <w:sz w:val="20"/>
              </w:rPr>
              <w:t xml:space="preserve"> Review Date: </w:t>
            </w:r>
            <w:r w:rsidR="00980357">
              <w:rPr>
                <w:sz w:val="20"/>
              </w:rPr>
              <w:t>Nov 26,</w:t>
            </w:r>
            <w:r w:rsidRPr="00756918">
              <w:rPr>
                <w:sz w:val="20"/>
              </w:rPr>
              <w:t xml:space="preserve"> 2018</w:t>
            </w:r>
            <w:r>
              <w:rPr>
                <w:sz w:val="20"/>
              </w:rPr>
              <w:t xml:space="preserve">    |   </w:t>
            </w:r>
            <w:r w:rsidR="00980357">
              <w:rPr>
                <w:sz w:val="20"/>
              </w:rPr>
              <w:t>Next Review Date: Nov 26</w:t>
            </w:r>
            <w:r w:rsidRPr="00756918">
              <w:rPr>
                <w:sz w:val="20"/>
              </w:rPr>
              <w:t>,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7B" w:rsidRDefault="0049767B" w:rsidP="005234DE">
      <w:pPr>
        <w:spacing w:after="0" w:line="240" w:lineRule="auto"/>
      </w:pPr>
      <w:r>
        <w:separator/>
      </w:r>
    </w:p>
  </w:footnote>
  <w:footnote w:type="continuationSeparator" w:id="0">
    <w:p w:rsidR="0049767B" w:rsidRDefault="0049767B" w:rsidP="0052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97" w:rsidRDefault="00E524FF" w:rsidP="008702E7">
    <w:pPr>
      <w:pStyle w:val="Header"/>
      <w:tabs>
        <w:tab w:val="clear" w:pos="4680"/>
        <w:tab w:val="clear" w:pos="9360"/>
        <w:tab w:val="left" w:pos="289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A79F7" wp14:editId="4585DEDC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</w:rPr>
      <w:t xml:space="preserve"> 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E52"/>
    <w:multiLevelType w:val="hybridMultilevel"/>
    <w:tmpl w:val="C6A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5C0"/>
    <w:multiLevelType w:val="hybridMultilevel"/>
    <w:tmpl w:val="26A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43D3"/>
    <w:multiLevelType w:val="hybridMultilevel"/>
    <w:tmpl w:val="E46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7D9"/>
    <w:multiLevelType w:val="hybridMultilevel"/>
    <w:tmpl w:val="A03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739"/>
    <w:multiLevelType w:val="hybridMultilevel"/>
    <w:tmpl w:val="4AB20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5"/>
    <w:rsid w:val="00013951"/>
    <w:rsid w:val="000A180B"/>
    <w:rsid w:val="00165053"/>
    <w:rsid w:val="0017006E"/>
    <w:rsid w:val="00226695"/>
    <w:rsid w:val="00263B08"/>
    <w:rsid w:val="00270C0B"/>
    <w:rsid w:val="002C5677"/>
    <w:rsid w:val="002E5793"/>
    <w:rsid w:val="003311D7"/>
    <w:rsid w:val="00357B78"/>
    <w:rsid w:val="003D49E1"/>
    <w:rsid w:val="0049767B"/>
    <w:rsid w:val="004D2D54"/>
    <w:rsid w:val="005234DE"/>
    <w:rsid w:val="00596DE5"/>
    <w:rsid w:val="005F2F10"/>
    <w:rsid w:val="007863B1"/>
    <w:rsid w:val="00843EBE"/>
    <w:rsid w:val="008E67DA"/>
    <w:rsid w:val="008F0D45"/>
    <w:rsid w:val="00902558"/>
    <w:rsid w:val="0093648C"/>
    <w:rsid w:val="00980357"/>
    <w:rsid w:val="009E3145"/>
    <w:rsid w:val="00A45634"/>
    <w:rsid w:val="00A83261"/>
    <w:rsid w:val="00B56A5C"/>
    <w:rsid w:val="00C25265"/>
    <w:rsid w:val="00D65D9C"/>
    <w:rsid w:val="00D83F84"/>
    <w:rsid w:val="00E15945"/>
    <w:rsid w:val="00E524FF"/>
    <w:rsid w:val="00E57B50"/>
    <w:rsid w:val="00E62511"/>
    <w:rsid w:val="00EB7F5A"/>
    <w:rsid w:val="00F53FED"/>
    <w:rsid w:val="00F70BD0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E3A3-7CC6-47CF-949C-744D14F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65"/>
  </w:style>
  <w:style w:type="paragraph" w:styleId="Heading1">
    <w:name w:val="heading 1"/>
    <w:basedOn w:val="Normal"/>
    <w:next w:val="Normal"/>
    <w:link w:val="Heading1Char"/>
    <w:uiPriority w:val="9"/>
    <w:qFormat/>
    <w:rsid w:val="00C25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2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65"/>
  </w:style>
  <w:style w:type="paragraph" w:styleId="Footer">
    <w:name w:val="footer"/>
    <w:basedOn w:val="Normal"/>
    <w:link w:val="FooterChar"/>
    <w:uiPriority w:val="99"/>
    <w:unhideWhenUsed/>
    <w:rsid w:val="00C2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Wassink, Berend</cp:lastModifiedBy>
  <cp:revision>2</cp:revision>
  <dcterms:created xsi:type="dcterms:W3CDTF">2020-03-11T16:35:00Z</dcterms:created>
  <dcterms:modified xsi:type="dcterms:W3CDTF">2020-03-11T16:35:00Z</dcterms:modified>
</cp:coreProperties>
</file>